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1" w:rsidRPr="00B02336" w:rsidRDefault="00624FC1" w:rsidP="00B02336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  <w:r w:rsidRPr="00B02336">
        <w:rPr>
          <w:b/>
          <w:sz w:val="28"/>
          <w:szCs w:val="28"/>
        </w:rPr>
        <w:t>Minuta de reunión</w:t>
      </w:r>
    </w:p>
    <w:p w:rsidR="00B02336" w:rsidRDefault="00B02336" w:rsidP="00AF3AE4">
      <w:pPr>
        <w:spacing w:line="240" w:lineRule="auto"/>
        <w:jc w:val="both"/>
        <w:rPr>
          <w:b/>
        </w:rPr>
      </w:pPr>
    </w:p>
    <w:p w:rsidR="00624FC1" w:rsidRPr="003D13C7" w:rsidRDefault="00624FC1" w:rsidP="00AF3AE4">
      <w:pPr>
        <w:spacing w:line="240" w:lineRule="auto"/>
        <w:jc w:val="both"/>
      </w:pPr>
      <w:r w:rsidRPr="003D13C7">
        <w:rPr>
          <w:b/>
        </w:rPr>
        <w:t>Fecha</w:t>
      </w:r>
      <w:r w:rsidRPr="003D13C7">
        <w:t>: 17 de abril del 2018</w:t>
      </w:r>
    </w:p>
    <w:p w:rsidR="00624FC1" w:rsidRPr="003D13C7" w:rsidRDefault="00624FC1" w:rsidP="00AF3AE4">
      <w:pPr>
        <w:spacing w:line="240" w:lineRule="auto"/>
        <w:jc w:val="both"/>
      </w:pPr>
      <w:r w:rsidRPr="003D13C7">
        <w:rPr>
          <w:b/>
        </w:rPr>
        <w:t>Lugar</w:t>
      </w:r>
      <w:r w:rsidRPr="003D13C7">
        <w:t>: Sala de Directores, primer piso, INEA, Oficinas centro.</w:t>
      </w:r>
    </w:p>
    <w:p w:rsidR="00624FC1" w:rsidRPr="003D13C7" w:rsidRDefault="00624FC1" w:rsidP="00AF3AE4">
      <w:pPr>
        <w:spacing w:line="240" w:lineRule="auto"/>
        <w:jc w:val="both"/>
      </w:pPr>
      <w:r w:rsidRPr="003D13C7">
        <w:rPr>
          <w:b/>
        </w:rPr>
        <w:t>Objetivo</w:t>
      </w:r>
      <w:r w:rsidRPr="003D13C7">
        <w:t xml:space="preserve">: </w:t>
      </w:r>
      <w:r w:rsidR="00181DEB">
        <w:t>Instalación del C</w:t>
      </w:r>
      <w:r w:rsidRPr="003D13C7">
        <w:t xml:space="preserve">omité </w:t>
      </w:r>
      <w:r w:rsidR="00181DEB">
        <w:t>Técnico A</w:t>
      </w:r>
      <w:r w:rsidRPr="003D13C7">
        <w:t xml:space="preserve">cadémico de la vertiente del </w:t>
      </w:r>
      <w:proofErr w:type="spellStart"/>
      <w:r w:rsidRPr="003D13C7">
        <w:t>MEVyT</w:t>
      </w:r>
      <w:proofErr w:type="spellEnd"/>
      <w:r w:rsidRPr="003D13C7">
        <w:t xml:space="preserve"> para la atención </w:t>
      </w:r>
      <w:r w:rsidR="00181DEB">
        <w:t>de</w:t>
      </w:r>
      <w:r w:rsidRPr="003D13C7">
        <w:t xml:space="preserve"> personas adultas mayores</w:t>
      </w:r>
      <w:r w:rsidR="00F93D15">
        <w:t>.</w:t>
      </w:r>
    </w:p>
    <w:p w:rsidR="004D5063" w:rsidRPr="008659F2" w:rsidRDefault="00624FC1" w:rsidP="00AF3AE4">
      <w:pPr>
        <w:spacing w:line="240" w:lineRule="auto"/>
        <w:jc w:val="both"/>
      </w:pPr>
      <w:r w:rsidRPr="003D13C7">
        <w:rPr>
          <w:b/>
        </w:rPr>
        <w:t>Reunión convocada por</w:t>
      </w:r>
      <w:r w:rsidRPr="003D13C7">
        <w:t>:</w:t>
      </w:r>
      <w:r w:rsidR="00F93D15">
        <w:t xml:space="preserve"> </w:t>
      </w:r>
      <w:r w:rsidR="00F93D15" w:rsidRPr="00D37C6A">
        <w:t>Lic. Gerardo Molina Álv</w:t>
      </w:r>
      <w:r w:rsidR="0027772E">
        <w:t>arez, Director General del INEA</w:t>
      </w:r>
      <w:r w:rsidR="00D37C6A">
        <w:t>.</w:t>
      </w:r>
    </w:p>
    <w:p w:rsidR="008659F2" w:rsidRDefault="004D5063" w:rsidP="00AF3AE4">
      <w:pPr>
        <w:spacing w:line="240" w:lineRule="auto"/>
        <w:jc w:val="both"/>
        <w:rPr>
          <w:b/>
        </w:rPr>
      </w:pPr>
      <w:r>
        <w:rPr>
          <w:rFonts w:ascii="Calibri" w:hAnsi="Calibri"/>
          <w:color w:val="000000"/>
        </w:rPr>
        <w:t xml:space="preserve">La titular de la Dirección Académica, </w:t>
      </w:r>
      <w:proofErr w:type="spellStart"/>
      <w:r>
        <w:rPr>
          <w:rFonts w:ascii="Calibri" w:hAnsi="Calibri"/>
          <w:color w:val="000000"/>
        </w:rPr>
        <w:t>Profra</w:t>
      </w:r>
      <w:proofErr w:type="spellEnd"/>
      <w:r>
        <w:rPr>
          <w:rFonts w:ascii="Calibri" w:hAnsi="Calibri"/>
          <w:color w:val="000000"/>
        </w:rPr>
        <w:t xml:space="preserve">. Celia del Socorro Solís Sánchez, dio la bienvenida a los participantes; posteriormente, se procedió a su </w:t>
      </w:r>
      <w:r w:rsidR="0048176D">
        <w:rPr>
          <w:rFonts w:ascii="Calibri" w:hAnsi="Calibri"/>
          <w:color w:val="000000"/>
        </w:rPr>
        <w:t xml:space="preserve">presentación. Una vez aprobada la agenda de trabajo, </w:t>
      </w:r>
      <w:r w:rsidR="00473393" w:rsidRPr="00237934">
        <w:rPr>
          <w:rFonts w:ascii="Calibri" w:hAnsi="Calibri"/>
          <w:color w:val="000000"/>
        </w:rPr>
        <w:t xml:space="preserve">se </w:t>
      </w:r>
      <w:r w:rsidR="008659F2">
        <w:rPr>
          <w:rFonts w:ascii="Calibri" w:hAnsi="Calibri"/>
          <w:color w:val="000000"/>
        </w:rPr>
        <w:t xml:space="preserve">exponen los </w:t>
      </w:r>
      <w:r w:rsidR="0048176D">
        <w:rPr>
          <w:rFonts w:ascii="Calibri" w:hAnsi="Calibri"/>
          <w:color w:val="000000"/>
        </w:rPr>
        <w:t>avances de la vertiente de aten</w:t>
      </w:r>
      <w:r w:rsidR="008659F2">
        <w:rPr>
          <w:rFonts w:ascii="Calibri" w:hAnsi="Calibri"/>
          <w:color w:val="000000"/>
        </w:rPr>
        <w:t>ción a personas adultas mayores. Al término de ésta,</w:t>
      </w:r>
      <w:r w:rsidR="008659F2">
        <w:t xml:space="preserve"> los participantes realizaron c</w:t>
      </w:r>
      <w:r w:rsidR="008659F2" w:rsidRPr="00237934">
        <w:rPr>
          <w:rFonts w:ascii="Calibri" w:hAnsi="Calibri"/>
          <w:color w:val="000000"/>
        </w:rPr>
        <w:t xml:space="preserve">omentarios </w:t>
      </w:r>
      <w:r w:rsidR="008659F2">
        <w:rPr>
          <w:rFonts w:ascii="Calibri" w:hAnsi="Calibri"/>
          <w:color w:val="000000"/>
        </w:rPr>
        <w:t xml:space="preserve">a los avances reseñados; algunos de estos </w:t>
      </w:r>
      <w:r w:rsidR="008659F2" w:rsidRPr="00237934">
        <w:rPr>
          <w:rFonts w:ascii="Calibri" w:hAnsi="Calibri"/>
          <w:color w:val="000000"/>
        </w:rPr>
        <w:t>relaci</w:t>
      </w:r>
      <w:r w:rsidR="008659F2">
        <w:rPr>
          <w:rFonts w:ascii="Calibri" w:hAnsi="Calibri"/>
          <w:color w:val="000000"/>
        </w:rPr>
        <w:t xml:space="preserve">onados </w:t>
      </w:r>
      <w:r w:rsidR="008659F2" w:rsidRPr="00237934">
        <w:rPr>
          <w:rFonts w:ascii="Calibri" w:hAnsi="Calibri"/>
          <w:color w:val="000000"/>
        </w:rPr>
        <w:t xml:space="preserve">con las acciones que </w:t>
      </w:r>
      <w:r w:rsidR="008659F2">
        <w:rPr>
          <w:rFonts w:ascii="Calibri" w:hAnsi="Calibri"/>
          <w:color w:val="000000"/>
        </w:rPr>
        <w:t xml:space="preserve">realizan las </w:t>
      </w:r>
      <w:r w:rsidR="008659F2" w:rsidRPr="00237934">
        <w:rPr>
          <w:rFonts w:ascii="Calibri" w:hAnsi="Calibri"/>
          <w:color w:val="000000"/>
        </w:rPr>
        <w:t>instituciones que representan</w:t>
      </w:r>
      <w:r w:rsidR="008659F2">
        <w:rPr>
          <w:b/>
        </w:rPr>
        <w:t>.</w:t>
      </w:r>
    </w:p>
    <w:p w:rsidR="00237934" w:rsidRPr="008659F2" w:rsidRDefault="00237934" w:rsidP="00AF3AE4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b/>
        </w:rPr>
        <w:t>Tema 1 Avances</w:t>
      </w:r>
      <w:r w:rsidRPr="00237934">
        <w:rPr>
          <w:b/>
        </w:rPr>
        <w:t xml:space="preserve"> de la Vertiente del </w:t>
      </w:r>
      <w:proofErr w:type="spellStart"/>
      <w:r w:rsidRPr="00237934">
        <w:rPr>
          <w:b/>
        </w:rPr>
        <w:t>MEVyT</w:t>
      </w:r>
      <w:proofErr w:type="spellEnd"/>
    </w:p>
    <w:p w:rsidR="00624FC1" w:rsidRPr="008659F2" w:rsidRDefault="00F93D15" w:rsidP="00AF3AE4">
      <w:pPr>
        <w:spacing w:line="240" w:lineRule="auto"/>
        <w:jc w:val="both"/>
      </w:pPr>
      <w:r w:rsidRPr="00E67B20">
        <w:t>Formación</w:t>
      </w:r>
    </w:p>
    <w:p w:rsidR="00932729" w:rsidRDefault="004D5063" w:rsidP="00AF3AE4">
      <w:pPr>
        <w:spacing w:line="240" w:lineRule="auto"/>
        <w:jc w:val="both"/>
      </w:pPr>
      <w:r>
        <w:t>S</w:t>
      </w:r>
      <w:r w:rsidR="007D60F3">
        <w:t>e sugiere g</w:t>
      </w:r>
      <w:r w:rsidR="00181DEB">
        <w:t xml:space="preserve">arantizar, </w:t>
      </w:r>
      <w:r w:rsidR="00932729">
        <w:t xml:space="preserve">una formación adecuada a </w:t>
      </w:r>
      <w:r w:rsidR="00932729" w:rsidRPr="003D13C7">
        <w:t xml:space="preserve">figuras </w:t>
      </w:r>
      <w:r w:rsidR="00932729">
        <w:t xml:space="preserve">con experiencia </w:t>
      </w:r>
      <w:r w:rsidR="008F0FF7">
        <w:t xml:space="preserve">obtenida en su práctica diaria con </w:t>
      </w:r>
      <w:r w:rsidR="00932729">
        <w:t>personas adultas mayores</w:t>
      </w:r>
      <w:r w:rsidR="008F0FF7">
        <w:t xml:space="preserve">, mediante la impartición de talleres </w:t>
      </w:r>
      <w:r w:rsidR="007629EF">
        <w:t xml:space="preserve">a cargo </w:t>
      </w:r>
      <w:r w:rsidR="0027772E">
        <w:t>de</w:t>
      </w:r>
      <w:r w:rsidR="00A418F0">
        <w:t xml:space="preserve"> </w:t>
      </w:r>
      <w:r w:rsidR="0027772E">
        <w:t>los Institutos y Delegaciones del INEA</w:t>
      </w:r>
      <w:r w:rsidR="008F0FF7">
        <w:t>.</w:t>
      </w:r>
    </w:p>
    <w:p w:rsidR="00706386" w:rsidRDefault="00706386" w:rsidP="00AF3AE4">
      <w:pPr>
        <w:spacing w:line="240" w:lineRule="auto"/>
        <w:jc w:val="both"/>
      </w:pPr>
      <w:r>
        <w:t xml:space="preserve">Se requiere una vinculación interinstitucional, </w:t>
      </w:r>
      <w:r w:rsidR="0048176D">
        <w:t xml:space="preserve">que permita articular acciones educativas que realizan otras instituciones, por ejemplo, </w:t>
      </w:r>
      <w:r>
        <w:t xml:space="preserve">el ISSSTE, </w:t>
      </w:r>
      <w:r w:rsidR="0048176D">
        <w:t xml:space="preserve">mediante su </w:t>
      </w:r>
      <w:r>
        <w:t>Casa de Día, Casa de abuelo, e</w:t>
      </w:r>
      <w:r w:rsidR="0048176D">
        <w:t>ntre otras</w:t>
      </w:r>
      <w:r>
        <w:t>.</w:t>
      </w:r>
    </w:p>
    <w:p w:rsidR="00857814" w:rsidRPr="00E67B20" w:rsidRDefault="00F93D15" w:rsidP="00AF3AE4">
      <w:pPr>
        <w:spacing w:line="240" w:lineRule="auto"/>
        <w:jc w:val="both"/>
      </w:pPr>
      <w:r w:rsidRPr="00E67B20">
        <w:t>Diagnóstico y diseño curricular</w:t>
      </w:r>
    </w:p>
    <w:p w:rsidR="003E347A" w:rsidRDefault="007D60F3" w:rsidP="00AF3AE4">
      <w:pPr>
        <w:spacing w:line="240" w:lineRule="auto"/>
        <w:jc w:val="both"/>
      </w:pPr>
      <w:r>
        <w:t>Se sugiere r</w:t>
      </w:r>
      <w:r w:rsidR="00181DEB">
        <w:t>ealizar, p</w:t>
      </w:r>
      <w:r w:rsidR="003D13C7" w:rsidRPr="003D13C7">
        <w:t>revio al diseño curricular</w:t>
      </w:r>
      <w:r w:rsidR="00181DEB">
        <w:t xml:space="preserve">, un </w:t>
      </w:r>
      <w:r w:rsidR="008F0FF7">
        <w:t xml:space="preserve">diagnóstico situado </w:t>
      </w:r>
      <w:r w:rsidR="0048176D">
        <w:t xml:space="preserve">que permita identificar información de </w:t>
      </w:r>
      <w:r w:rsidR="008F0FF7">
        <w:t>los contextos de las personas</w:t>
      </w:r>
      <w:r w:rsidR="00E23C05">
        <w:t xml:space="preserve"> adultas mayores, </w:t>
      </w:r>
      <w:r w:rsidR="00181DEB">
        <w:t xml:space="preserve">considerando </w:t>
      </w:r>
      <w:r w:rsidR="00E23C05">
        <w:t>sobre todo a la familia</w:t>
      </w:r>
      <w:r w:rsidR="00181DEB">
        <w:t>, mediante la apertura de</w:t>
      </w:r>
      <w:r w:rsidR="00E23C05">
        <w:t xml:space="preserve"> espacios de conversación</w:t>
      </w:r>
      <w:r w:rsidR="003E347A">
        <w:t>.</w:t>
      </w:r>
    </w:p>
    <w:p w:rsidR="003E347A" w:rsidRDefault="003E347A" w:rsidP="00AF3AE4">
      <w:pPr>
        <w:spacing w:line="240" w:lineRule="auto"/>
        <w:jc w:val="both"/>
        <w:rPr>
          <w:rFonts w:ascii="Calibri" w:hAnsi="Calibri"/>
          <w:color w:val="000000"/>
        </w:rPr>
      </w:pPr>
      <w:r>
        <w:t>La propuesta curricular debe estar enmarcada en los derechos nacionales y tratados internacionales</w:t>
      </w:r>
      <w:r w:rsidR="00412932">
        <w:t>;</w:t>
      </w:r>
      <w:r>
        <w:t xml:space="preserve"> </w:t>
      </w:r>
      <w:r>
        <w:rPr>
          <w:rFonts w:ascii="Calibri" w:hAnsi="Calibri"/>
          <w:color w:val="000000"/>
        </w:rPr>
        <w:t>en el marco de la política pública de los Derechos Humanos, en tanto que está destinada a la población vulnerable, en contextos rurales.</w:t>
      </w:r>
    </w:p>
    <w:p w:rsidR="00A418F0" w:rsidRDefault="00A418F0" w:rsidP="00AF3AE4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Se recomienda </w:t>
      </w:r>
      <w:r w:rsidR="008E4F3D">
        <w:rPr>
          <w:rFonts w:ascii="Calibri" w:hAnsi="Calibri"/>
          <w:color w:val="000000"/>
        </w:rPr>
        <w:t xml:space="preserve">considerar los planteamientos de las políticas públicas nacionales y </w:t>
      </w:r>
      <w:r>
        <w:rPr>
          <w:rFonts w:ascii="Calibri" w:hAnsi="Calibri"/>
          <w:color w:val="000000"/>
        </w:rPr>
        <w:t>planteamientos internacionales, para que las personas adultas mayores tengan participación en la vida social y recreación, en el trabajo comunitario, considerar no solamente a los destinatarios sino a la población en lo general</w:t>
      </w:r>
      <w:r w:rsidR="008E4F3D">
        <w:rPr>
          <w:rFonts w:ascii="Calibri" w:hAnsi="Calibri"/>
          <w:color w:val="000000"/>
        </w:rPr>
        <w:t>.</w:t>
      </w:r>
    </w:p>
    <w:p w:rsidR="003D13C7" w:rsidRPr="003D13C7" w:rsidRDefault="0090538F" w:rsidP="00AF3AE4">
      <w:pPr>
        <w:spacing w:line="240" w:lineRule="auto"/>
        <w:jc w:val="both"/>
      </w:pPr>
      <w:r w:rsidRPr="00706386">
        <w:rPr>
          <w:rFonts w:ascii="Calibri" w:hAnsi="Calibri"/>
          <w:color w:val="000000"/>
        </w:rPr>
        <w:t xml:space="preserve">Se </w:t>
      </w:r>
      <w:r w:rsidR="00A418F0">
        <w:rPr>
          <w:rFonts w:ascii="Calibri" w:hAnsi="Calibri"/>
          <w:color w:val="000000"/>
        </w:rPr>
        <w:t>sugiere</w:t>
      </w:r>
      <w:r w:rsidRPr="00706386">
        <w:rPr>
          <w:rFonts w:ascii="Calibri" w:hAnsi="Calibri"/>
          <w:color w:val="000000"/>
        </w:rPr>
        <w:t xml:space="preserve"> revisar lo concerniente a la emisión de certificados</w:t>
      </w:r>
      <w:r w:rsidR="003656FA" w:rsidRPr="00706386">
        <w:rPr>
          <w:rFonts w:ascii="Calibri" w:hAnsi="Calibri"/>
          <w:color w:val="000000"/>
        </w:rPr>
        <w:t>.</w:t>
      </w:r>
    </w:p>
    <w:p w:rsidR="003D13C7" w:rsidRPr="00E67B20" w:rsidRDefault="00F93D15" w:rsidP="00AF3AE4">
      <w:pPr>
        <w:spacing w:line="240" w:lineRule="auto"/>
        <w:jc w:val="both"/>
      </w:pPr>
      <w:r w:rsidRPr="00E67B20">
        <w:lastRenderedPageBreak/>
        <w:t>Necesidad básica</w:t>
      </w:r>
    </w:p>
    <w:p w:rsidR="003E347A" w:rsidRDefault="007D60F3" w:rsidP="00AF3AE4">
      <w:pPr>
        <w:spacing w:line="240" w:lineRule="auto"/>
        <w:jc w:val="both"/>
        <w:rPr>
          <w:rFonts w:ascii="Calibri" w:hAnsi="Calibri"/>
          <w:color w:val="000000"/>
        </w:rPr>
      </w:pPr>
      <w:r>
        <w:t>Se propone t</w:t>
      </w:r>
      <w:r w:rsidR="003D13C7" w:rsidRPr="003D13C7">
        <w:t xml:space="preserve">rabajar la noción de necesidad básica </w:t>
      </w:r>
      <w:r w:rsidR="00E23C05">
        <w:t xml:space="preserve">desde la óptica de un sujeto que exige al </w:t>
      </w:r>
      <w:r w:rsidR="003D13C7" w:rsidRPr="003D13C7">
        <w:t>Estado el cumplimiento de un</w:t>
      </w:r>
      <w:r w:rsidR="00E23C05">
        <w:t xml:space="preserve"> derecho constitucional y </w:t>
      </w:r>
      <w:r w:rsidR="00181DEB">
        <w:t>humano;</w:t>
      </w:r>
      <w:r w:rsidR="00E23C05">
        <w:t xml:space="preserve"> </w:t>
      </w:r>
      <w:r w:rsidR="003656FA">
        <w:t>una noción de derecho a la educación interceptado por otros derechos:</w:t>
      </w:r>
      <w:r w:rsidR="004D6C01">
        <w:t xml:space="preserve"> </w:t>
      </w:r>
      <w:r w:rsidR="00181DEB">
        <w:t>como</w:t>
      </w:r>
      <w:r w:rsidR="00E23C05">
        <w:t xml:space="preserve"> </w:t>
      </w:r>
      <w:r w:rsidR="003656FA">
        <w:t xml:space="preserve">personas de la tercera edad, ser indígena, </w:t>
      </w:r>
      <w:r w:rsidR="00706386">
        <w:t xml:space="preserve">mujer, lo que implica la perspectiva de género en este país, </w:t>
      </w:r>
      <w:r w:rsidR="008E4F3D">
        <w:t>entre otros.</w:t>
      </w:r>
    </w:p>
    <w:p w:rsidR="003D13C7" w:rsidRPr="00E67B20" w:rsidRDefault="00F93D15" w:rsidP="00AF3AE4">
      <w:pPr>
        <w:spacing w:line="240" w:lineRule="auto"/>
        <w:jc w:val="both"/>
      </w:pPr>
      <w:r w:rsidRPr="00E67B20">
        <w:t>Experiencia</w:t>
      </w:r>
    </w:p>
    <w:p w:rsidR="00624FC1" w:rsidRDefault="007D60F3" w:rsidP="00AF3AE4">
      <w:pPr>
        <w:spacing w:line="240" w:lineRule="auto"/>
        <w:jc w:val="both"/>
      </w:pPr>
      <w:r>
        <w:t xml:space="preserve">Se enfatiza </w:t>
      </w:r>
      <w:r w:rsidR="008E4F3D">
        <w:t xml:space="preserve">la necesidad de </w:t>
      </w:r>
      <w:r>
        <w:t>c</w:t>
      </w:r>
      <w:r w:rsidR="003D13C7" w:rsidRPr="003D13C7">
        <w:t xml:space="preserve">oncebir a un sujeto </w:t>
      </w:r>
      <w:r w:rsidR="00181DEB">
        <w:t xml:space="preserve">con potencialidades, siendo la mayor, la experiencia, por lo que es importante conocerla a partir de preguntas, que rescaten su experiencia en el INEA, sus gustos, utilidad y expectativas. </w:t>
      </w:r>
      <w:r w:rsidR="00A418F0" w:rsidRPr="00A418F0">
        <w:t>Se</w:t>
      </w:r>
      <w:r w:rsidR="008E4F3D">
        <w:t xml:space="preserve"> hizo referencia a la propuesta educativa </w:t>
      </w:r>
      <w:r w:rsidR="00A418F0" w:rsidRPr="00A418F0">
        <w:t>de la Universidad de la experiencia</w:t>
      </w:r>
      <w:r w:rsidR="008E4F3D">
        <w:t>,</w:t>
      </w:r>
      <w:r w:rsidR="00A418F0" w:rsidRPr="00A418F0">
        <w:t xml:space="preserve"> en la que las aulas sociales deben ser lugares no de satisfacción de experiencias sino de generación de experiencias porque hay una continuidad experiencial.</w:t>
      </w:r>
    </w:p>
    <w:p w:rsidR="00A01B20" w:rsidRPr="00E67B20" w:rsidRDefault="0033103C" w:rsidP="00AF3AE4">
      <w:pPr>
        <w:spacing w:line="240" w:lineRule="auto"/>
        <w:jc w:val="both"/>
        <w:rPr>
          <w:b/>
        </w:rPr>
      </w:pPr>
      <w:r w:rsidRPr="00E67B20">
        <w:rPr>
          <w:b/>
        </w:rPr>
        <w:t>Tema 2 Instalación del Comité</w:t>
      </w:r>
    </w:p>
    <w:p w:rsidR="00186A95" w:rsidRPr="003D13C7" w:rsidRDefault="0033103C" w:rsidP="00186A95">
      <w:pPr>
        <w:spacing w:line="240" w:lineRule="auto"/>
        <w:jc w:val="both"/>
      </w:pPr>
      <w:r>
        <w:t xml:space="preserve">Se </w:t>
      </w:r>
      <w:r w:rsidR="00E02EA4">
        <w:t>presentan</w:t>
      </w:r>
      <w:r>
        <w:t xml:space="preserve"> características del Comité</w:t>
      </w:r>
      <w:r w:rsidR="00186A95">
        <w:t>: propósitos, funciones e integrantes</w:t>
      </w:r>
      <w:r w:rsidR="008E4F3D">
        <w:t xml:space="preserve">. </w:t>
      </w:r>
      <w:r w:rsidR="00186A95">
        <w:t>Se destacan</w:t>
      </w:r>
      <w:r w:rsidR="00186A95" w:rsidRPr="003D13C7">
        <w:t xml:space="preserve"> </w:t>
      </w:r>
      <w:r w:rsidR="00E02EA4">
        <w:t>sus</w:t>
      </w:r>
      <w:r w:rsidR="00182841">
        <w:t xml:space="preserve"> </w:t>
      </w:r>
      <w:r w:rsidR="00186A95" w:rsidRPr="003D13C7">
        <w:t>propósi</w:t>
      </w:r>
      <w:r w:rsidR="00186A95">
        <w:t>tos</w:t>
      </w:r>
      <w:r w:rsidR="00186A95" w:rsidRPr="003D13C7">
        <w:t>:</w:t>
      </w:r>
    </w:p>
    <w:p w:rsidR="00186A95" w:rsidRPr="003D13C7" w:rsidRDefault="00186A95" w:rsidP="00186A95">
      <w:pPr>
        <w:spacing w:line="240" w:lineRule="auto"/>
        <w:jc w:val="both"/>
      </w:pPr>
      <w:r w:rsidRPr="003D13C7">
        <w:t>•</w:t>
      </w:r>
      <w:r w:rsidRPr="003D13C7">
        <w:tab/>
        <w:t>Contar con asesoría especializada que favorezca la construcción de</w:t>
      </w:r>
      <w:r>
        <w:t xml:space="preserve"> la propuesta curricular de la V</w:t>
      </w:r>
      <w:r w:rsidRPr="003D13C7">
        <w:t xml:space="preserve">ertiente de atención a personas adultas mayores del </w:t>
      </w:r>
      <w:proofErr w:type="spellStart"/>
      <w:r w:rsidRPr="003D13C7">
        <w:t>MEVyT</w:t>
      </w:r>
      <w:proofErr w:type="spellEnd"/>
      <w:r w:rsidRPr="003D13C7">
        <w:t>.</w:t>
      </w:r>
    </w:p>
    <w:p w:rsidR="00186A95" w:rsidRPr="003D13C7" w:rsidRDefault="00186A95" w:rsidP="00186A95">
      <w:pPr>
        <w:spacing w:line="240" w:lineRule="auto"/>
        <w:jc w:val="both"/>
      </w:pPr>
      <w:r w:rsidRPr="003D13C7">
        <w:t>•</w:t>
      </w:r>
      <w:r w:rsidRPr="003D13C7">
        <w:tab/>
        <w:t>Apoyar el desarrollo de una propuesta curricular</w:t>
      </w:r>
      <w:r>
        <w:t>,</w:t>
      </w:r>
      <w:r w:rsidRPr="003D13C7">
        <w:t xml:space="preserve"> articulando aportaciones teórico</w:t>
      </w:r>
      <w:r>
        <w:t xml:space="preserve"> </w:t>
      </w:r>
      <w:r w:rsidRPr="003D13C7">
        <w:t>metodológicas pertinentes para atender requerimientos de la población objetivo, así com</w:t>
      </w:r>
      <w:r w:rsidR="00182841">
        <w:t xml:space="preserve">o la definición de contenidos, </w:t>
      </w:r>
      <w:r w:rsidRPr="003D13C7">
        <w:t>metodologías y estrategias de materiales de formación.</w:t>
      </w:r>
    </w:p>
    <w:p w:rsidR="00186A95" w:rsidRDefault="00186A95" w:rsidP="00186A95">
      <w:pPr>
        <w:spacing w:line="240" w:lineRule="auto"/>
        <w:jc w:val="both"/>
      </w:pPr>
      <w:r w:rsidRPr="003D13C7">
        <w:t>•</w:t>
      </w:r>
      <w:r w:rsidRPr="003D13C7">
        <w:tab/>
        <w:t>Asesorar la realización de un plan de trabajo que facilite la caracterización de los componentes fundamentales de la vertiente</w:t>
      </w:r>
      <w:r>
        <w:t>.</w:t>
      </w:r>
      <w:r w:rsidRPr="003D13C7">
        <w:t xml:space="preserve"> </w:t>
      </w:r>
    </w:p>
    <w:p w:rsidR="00186A95" w:rsidRDefault="00E02EA4" w:rsidP="00186A95">
      <w:pPr>
        <w:spacing w:line="240" w:lineRule="auto"/>
        <w:jc w:val="both"/>
      </w:pPr>
      <w:r>
        <w:t>Se enfatizó</w:t>
      </w:r>
      <w:r w:rsidR="00186A95">
        <w:t xml:space="preserve"> la importancia de establecer</w:t>
      </w:r>
      <w:r w:rsidR="00186A95" w:rsidRPr="003D13C7">
        <w:t xml:space="preserve"> vínculos con especialistas, investigadores, instituciones del sector público y de la sociedad civil </w:t>
      </w:r>
      <w:r w:rsidR="00186A95">
        <w:t>para</w:t>
      </w:r>
      <w:r w:rsidR="00186A95" w:rsidRPr="003D13C7">
        <w:t xml:space="preserve"> recabar experiencias, opiniones, resultado</w:t>
      </w:r>
      <w:r w:rsidR="00186A95">
        <w:t>s</w:t>
      </w:r>
      <w:r w:rsidR="00186A95" w:rsidRPr="003D13C7">
        <w:t xml:space="preserve"> de investigación, materiales y propuestas en materia de </w:t>
      </w:r>
      <w:r w:rsidR="00186A95">
        <w:t>atención</w:t>
      </w:r>
      <w:r w:rsidR="00186A95" w:rsidRPr="003D13C7">
        <w:t xml:space="preserve"> educat</w:t>
      </w:r>
      <w:r w:rsidR="00186A95">
        <w:t>iva de personas adultas mayores, que orienten el desarrollo de la vertiente de atención a personas adultas mayores.</w:t>
      </w:r>
    </w:p>
    <w:p w:rsidR="00A01B20" w:rsidRDefault="00237934" w:rsidP="00AF3AE4">
      <w:pPr>
        <w:spacing w:line="240" w:lineRule="auto"/>
        <w:jc w:val="both"/>
      </w:pPr>
      <w:r>
        <w:t>S</w:t>
      </w:r>
      <w:r w:rsidR="00186A95">
        <w:t>e comenta</w:t>
      </w:r>
      <w:r>
        <w:t>, posteriormente, el Programa de trabajo 2008.</w:t>
      </w:r>
    </w:p>
    <w:p w:rsidR="00237934" w:rsidRDefault="00237934" w:rsidP="00237934">
      <w:pPr>
        <w:spacing w:line="240" w:lineRule="auto"/>
        <w:jc w:val="both"/>
        <w:rPr>
          <w:rFonts w:ascii="Calibri" w:hAnsi="Calibri"/>
          <w:color w:val="000000"/>
        </w:rPr>
      </w:pPr>
      <w:r w:rsidRPr="00CE636B">
        <w:rPr>
          <w:rFonts w:ascii="Calibri" w:hAnsi="Calibri"/>
          <w:color w:val="000000"/>
        </w:rPr>
        <w:t xml:space="preserve">En </w:t>
      </w:r>
      <w:r>
        <w:rPr>
          <w:rFonts w:ascii="Calibri" w:hAnsi="Calibri"/>
          <w:color w:val="000000"/>
        </w:rPr>
        <w:t>lo general</w:t>
      </w:r>
      <w:r w:rsidR="00E02EA4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se acept</w:t>
      </w:r>
      <w:r w:rsidR="00E02EA4">
        <w:rPr>
          <w:rFonts w:ascii="Calibri" w:hAnsi="Calibri"/>
          <w:color w:val="000000"/>
        </w:rPr>
        <w:t>ó</w:t>
      </w:r>
      <w:r w:rsidRPr="00CE636B">
        <w:rPr>
          <w:rFonts w:ascii="Calibri" w:hAnsi="Calibri"/>
          <w:color w:val="000000"/>
        </w:rPr>
        <w:t xml:space="preserve"> la </w:t>
      </w:r>
      <w:r w:rsidR="00200A47">
        <w:rPr>
          <w:rFonts w:ascii="Calibri" w:hAnsi="Calibri"/>
          <w:color w:val="000000"/>
        </w:rPr>
        <w:t>propuesta revisada.</w:t>
      </w:r>
      <w:r w:rsidR="00E02EA4">
        <w:rPr>
          <w:rFonts w:ascii="Calibri" w:hAnsi="Calibri"/>
          <w:color w:val="000000"/>
        </w:rPr>
        <w:t xml:space="preserve"> Se realizaron algunas sugerencias y precisiones al documento </w:t>
      </w:r>
      <w:r w:rsidR="006F2E3B">
        <w:rPr>
          <w:rFonts w:ascii="Calibri" w:hAnsi="Calibri"/>
          <w:color w:val="000000"/>
        </w:rPr>
        <w:t>de Orientaciones Generales del Comité Técnico Académico. Se establecieron los siguientes compromisos: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68"/>
        <w:gridCol w:w="2460"/>
      </w:tblGrid>
      <w:tr w:rsidR="006F2E3B" w:rsidRPr="003D13C7" w:rsidTr="00182841">
        <w:tc>
          <w:tcPr>
            <w:tcW w:w="6376" w:type="dxa"/>
          </w:tcPr>
          <w:p w:rsidR="006F2E3B" w:rsidRPr="003D13C7" w:rsidRDefault="006F2E3B" w:rsidP="008F469A">
            <w:pPr>
              <w:jc w:val="both"/>
              <w:rPr>
                <w:b/>
              </w:rPr>
            </w:pPr>
            <w:r>
              <w:rPr>
                <w:b/>
              </w:rPr>
              <w:t xml:space="preserve">Compromisos </w:t>
            </w:r>
          </w:p>
        </w:tc>
        <w:tc>
          <w:tcPr>
            <w:tcW w:w="2462" w:type="dxa"/>
          </w:tcPr>
          <w:p w:rsidR="006F2E3B" w:rsidRPr="003D13C7" w:rsidRDefault="006F2E3B" w:rsidP="008F469A">
            <w:pPr>
              <w:jc w:val="center"/>
              <w:rPr>
                <w:b/>
              </w:rPr>
            </w:pPr>
            <w:r w:rsidRPr="003D13C7">
              <w:rPr>
                <w:b/>
              </w:rPr>
              <w:t>Responsable</w:t>
            </w:r>
          </w:p>
        </w:tc>
      </w:tr>
      <w:tr w:rsidR="006F2E3B" w:rsidRPr="003D13C7" w:rsidTr="00182841">
        <w:tc>
          <w:tcPr>
            <w:tcW w:w="6376" w:type="dxa"/>
          </w:tcPr>
          <w:p w:rsidR="006F2E3B" w:rsidRPr="003D13C7" w:rsidRDefault="005B0CC5" w:rsidP="0018284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Contar con</w:t>
            </w:r>
            <w:r w:rsidR="00182841">
              <w:t xml:space="preserve"> una primera propuesta de</w:t>
            </w:r>
            <w:r w:rsidR="006F2E3B" w:rsidRPr="003D13C7">
              <w:t xml:space="preserve"> finalidades educativas, temas</w:t>
            </w:r>
            <w:r w:rsidR="006F2E3B">
              <w:t xml:space="preserve">, </w:t>
            </w:r>
            <w:r w:rsidR="006F2E3B" w:rsidRPr="003D13C7">
              <w:t>competenci</w:t>
            </w:r>
            <w:r w:rsidR="006F2E3B">
              <w:t>as que se pretenden desarrollar</w:t>
            </w:r>
            <w:r w:rsidR="006F2E3B" w:rsidRPr="003D13C7">
              <w:t xml:space="preserve"> </w:t>
            </w:r>
            <w:r w:rsidR="006F2E3B">
              <w:t xml:space="preserve">y </w:t>
            </w:r>
            <w:r w:rsidR="006F2E3B" w:rsidRPr="003D13C7">
              <w:t>evaluación</w:t>
            </w:r>
            <w:r w:rsidR="006F2E3B">
              <w:t xml:space="preserve">. Se enviará </w:t>
            </w:r>
            <w:r w:rsidR="0073560F">
              <w:t xml:space="preserve">a integrantes del Comité Técnico </w:t>
            </w:r>
            <w:r w:rsidR="0073560F">
              <w:lastRenderedPageBreak/>
              <w:t xml:space="preserve">Académico, </w:t>
            </w:r>
            <w:r w:rsidR="006F2E3B" w:rsidRPr="003D13C7">
              <w:t xml:space="preserve">en la primera semana de junio </w:t>
            </w:r>
            <w:r w:rsidR="006F2E3B">
              <w:t xml:space="preserve">y se </w:t>
            </w:r>
            <w:r w:rsidR="0073560F">
              <w:t>comentará en la primera sesión ordinaria</w:t>
            </w:r>
            <w:r w:rsidR="006F2E3B">
              <w:t>,</w:t>
            </w:r>
            <w:r w:rsidR="006F2E3B" w:rsidRPr="003D13C7">
              <w:t xml:space="preserve"> el día 22 de junio.</w:t>
            </w:r>
          </w:p>
        </w:tc>
        <w:tc>
          <w:tcPr>
            <w:tcW w:w="2462" w:type="dxa"/>
          </w:tcPr>
          <w:p w:rsidR="006F2E3B" w:rsidRPr="007465C6" w:rsidRDefault="006F2E3B" w:rsidP="008F469A">
            <w:pPr>
              <w:jc w:val="center"/>
            </w:pPr>
            <w:r w:rsidRPr="007465C6">
              <w:lastRenderedPageBreak/>
              <w:t>INEA</w:t>
            </w:r>
          </w:p>
        </w:tc>
      </w:tr>
      <w:tr w:rsidR="006F2E3B" w:rsidRPr="003D13C7" w:rsidTr="00182841">
        <w:tc>
          <w:tcPr>
            <w:tcW w:w="6376" w:type="dxa"/>
          </w:tcPr>
          <w:p w:rsidR="006F2E3B" w:rsidRPr="003D13C7" w:rsidRDefault="0073560F" w:rsidP="0018284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Realizar</w:t>
            </w:r>
            <w:r w:rsidR="006F2E3B" w:rsidRPr="003D13C7">
              <w:t xml:space="preserve"> grupos focales </w:t>
            </w:r>
            <w:r w:rsidR="006F2E3B">
              <w:t xml:space="preserve">con personas adultas mayores </w:t>
            </w:r>
            <w:r w:rsidR="006F2E3B" w:rsidRPr="003D13C7">
              <w:t xml:space="preserve">para </w:t>
            </w:r>
            <w:r w:rsidR="005B0CC5">
              <w:t>escucharle</w:t>
            </w:r>
            <w:r w:rsidR="006F2E3B" w:rsidRPr="003D13C7">
              <w:t xml:space="preserve">s y </w:t>
            </w:r>
            <w:r>
              <w:t xml:space="preserve">con base en sus aportaciones </w:t>
            </w:r>
            <w:r w:rsidR="005B0CC5">
              <w:t xml:space="preserve">orientar </w:t>
            </w:r>
            <w:r w:rsidR="006F2E3B">
              <w:t>la definición de</w:t>
            </w:r>
            <w:r w:rsidR="005B0CC5">
              <w:t>:</w:t>
            </w:r>
            <w:r w:rsidR="006F2E3B" w:rsidRPr="003D13C7">
              <w:t xml:space="preserve"> las finalidades educativas, los temas, las competencias</w:t>
            </w:r>
            <w:r w:rsidR="005B0CC5">
              <w:t xml:space="preserve"> a</w:t>
            </w:r>
            <w:r w:rsidR="006F2E3B" w:rsidRPr="003D13C7">
              <w:t xml:space="preserve"> desarrollar,</w:t>
            </w:r>
            <w:r w:rsidR="005B0CC5">
              <w:t xml:space="preserve"> la </w:t>
            </w:r>
            <w:r w:rsidR="006F2E3B" w:rsidRPr="003D13C7">
              <w:t>evaluación que se necesita</w:t>
            </w:r>
            <w:r w:rsidR="005B0CC5">
              <w:t>;</w:t>
            </w:r>
            <w:r w:rsidR="006F2E3B" w:rsidRPr="003D13C7">
              <w:t xml:space="preserve"> </w:t>
            </w:r>
            <w:r w:rsidR="006F2E3B">
              <w:t>así como</w:t>
            </w:r>
            <w:r w:rsidR="006F2E3B" w:rsidRPr="003D13C7">
              <w:t xml:space="preserve"> la formación</w:t>
            </w:r>
            <w:r w:rsidR="006F2E3B">
              <w:t>. Mes de j</w:t>
            </w:r>
            <w:r w:rsidR="006F2E3B" w:rsidRPr="003D13C7">
              <w:t>ulio</w:t>
            </w:r>
            <w:r w:rsidR="006F2E3B">
              <w:t>.</w:t>
            </w:r>
          </w:p>
        </w:tc>
        <w:tc>
          <w:tcPr>
            <w:tcW w:w="2462" w:type="dxa"/>
          </w:tcPr>
          <w:p w:rsidR="006F2E3B" w:rsidRPr="007465C6" w:rsidRDefault="006F2E3B" w:rsidP="008F469A">
            <w:pPr>
              <w:jc w:val="center"/>
            </w:pPr>
            <w:r w:rsidRPr="007465C6">
              <w:t>INEA</w:t>
            </w:r>
          </w:p>
        </w:tc>
      </w:tr>
      <w:tr w:rsidR="006F2E3B" w:rsidRPr="003D13C7" w:rsidTr="00182841">
        <w:tc>
          <w:tcPr>
            <w:tcW w:w="6376" w:type="dxa"/>
          </w:tcPr>
          <w:p w:rsidR="006F2E3B" w:rsidRPr="003D13C7" w:rsidRDefault="006F2E3B" w:rsidP="0073560F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Presentar</w:t>
            </w:r>
            <w:r w:rsidRPr="003D13C7">
              <w:t xml:space="preserve"> al </w:t>
            </w:r>
            <w:r w:rsidR="005B0CC5">
              <w:t>C</w:t>
            </w:r>
            <w:r w:rsidRPr="003D13C7">
              <w:t>omité</w:t>
            </w:r>
            <w:r w:rsidR="005B0CC5">
              <w:t xml:space="preserve"> Técnico Académico</w:t>
            </w:r>
            <w:r>
              <w:t xml:space="preserve">, en </w:t>
            </w:r>
            <w:r w:rsidRPr="003D13C7">
              <w:t>septiembre</w:t>
            </w:r>
            <w:r>
              <w:t xml:space="preserve">, </w:t>
            </w:r>
            <w:r w:rsidRPr="003D13C7">
              <w:t xml:space="preserve">el resultado y las propuestas finales </w:t>
            </w:r>
            <w:r>
              <w:t>considerando</w:t>
            </w:r>
            <w:r w:rsidRPr="003D13C7">
              <w:t xml:space="preserve"> </w:t>
            </w:r>
            <w:r w:rsidR="005B0CC5">
              <w:t>obs</w:t>
            </w:r>
            <w:r w:rsidRPr="003D13C7">
              <w:t xml:space="preserve">ervaciones </w:t>
            </w:r>
            <w:r>
              <w:t>y opiniones de</w:t>
            </w:r>
            <w:r w:rsidRPr="003D13C7">
              <w:t xml:space="preserve"> los educandos</w:t>
            </w:r>
            <w:r w:rsidR="0073560F">
              <w:t>;</w:t>
            </w:r>
            <w:r w:rsidRPr="003D13C7">
              <w:t xml:space="preserve"> </w:t>
            </w:r>
            <w:r>
              <w:t xml:space="preserve">de tal manera que en diciembre se </w:t>
            </w:r>
            <w:r w:rsidR="0073560F">
              <w:t xml:space="preserve">definan </w:t>
            </w:r>
            <w:r w:rsidRPr="003D13C7">
              <w:t>contenido</w:t>
            </w:r>
            <w:r w:rsidR="0073560F">
              <w:t>s</w:t>
            </w:r>
            <w:r w:rsidRPr="003D13C7">
              <w:t xml:space="preserve"> preliminar</w:t>
            </w:r>
            <w:r w:rsidR="0073560F">
              <w:t>es</w:t>
            </w:r>
            <w:r>
              <w:t>,</w:t>
            </w:r>
            <w:r w:rsidRPr="003D13C7">
              <w:t xml:space="preserve"> expresado en grandes temas para cada módulo</w:t>
            </w:r>
            <w:r>
              <w:t>.</w:t>
            </w:r>
          </w:p>
        </w:tc>
        <w:tc>
          <w:tcPr>
            <w:tcW w:w="2462" w:type="dxa"/>
          </w:tcPr>
          <w:p w:rsidR="006F2E3B" w:rsidRPr="007465C6" w:rsidRDefault="006F2E3B" w:rsidP="008F469A">
            <w:pPr>
              <w:jc w:val="center"/>
            </w:pPr>
            <w:r w:rsidRPr="007465C6">
              <w:t>INEA</w:t>
            </w:r>
          </w:p>
        </w:tc>
      </w:tr>
    </w:tbl>
    <w:p w:rsidR="006F2E3B" w:rsidRPr="00CE636B" w:rsidRDefault="006F2E3B" w:rsidP="00237934">
      <w:pPr>
        <w:spacing w:line="240" w:lineRule="auto"/>
        <w:jc w:val="both"/>
        <w:rPr>
          <w:rFonts w:ascii="Calibri" w:hAnsi="Calibri"/>
          <w:color w:val="000000"/>
        </w:rPr>
      </w:pPr>
    </w:p>
    <w:p w:rsidR="00A418F0" w:rsidRDefault="0028617D" w:rsidP="00AF3AE4">
      <w:pPr>
        <w:spacing w:line="240" w:lineRule="auto"/>
        <w:jc w:val="both"/>
      </w:pPr>
      <w:r>
        <w:t>Finalmente, s</w:t>
      </w:r>
      <w:r w:rsidR="00186A95">
        <w:t>e le</w:t>
      </w:r>
      <w:r>
        <w:t>yó</w:t>
      </w:r>
      <w:r w:rsidR="00CE636B">
        <w:t xml:space="preserve"> el</w:t>
      </w:r>
      <w:r>
        <w:t xml:space="preserve"> contenido del</w:t>
      </w:r>
      <w:r w:rsidR="00CE636B">
        <w:t xml:space="preserve"> Acta de </w:t>
      </w:r>
      <w:r w:rsidR="00343972">
        <w:t xml:space="preserve">Instalación </w:t>
      </w:r>
      <w:r w:rsidR="00CE636B">
        <w:t xml:space="preserve">del Comité Técnico Académico de la Vertiente del </w:t>
      </w:r>
      <w:proofErr w:type="spellStart"/>
      <w:r w:rsidR="00CE636B">
        <w:t>MEVyT</w:t>
      </w:r>
      <w:proofErr w:type="spellEnd"/>
      <w:r w:rsidR="00CE636B">
        <w:t xml:space="preserve"> para</w:t>
      </w:r>
      <w:r w:rsidR="00343972">
        <w:t xml:space="preserve"> </w:t>
      </w:r>
      <w:r w:rsidR="00CE636B">
        <w:t>la atenci</w:t>
      </w:r>
      <w:r w:rsidR="00343972">
        <w:t>ón de Personas Adultas M</w:t>
      </w:r>
      <w:r w:rsidR="00CE636B">
        <w:t>ayores</w:t>
      </w:r>
      <w:r w:rsidR="00343972">
        <w:t>, posteriormente se firm</w:t>
      </w:r>
      <w:r>
        <w:t xml:space="preserve">ó por los integrantes </w:t>
      </w:r>
      <w:r w:rsidR="00343972">
        <w:t>y se</w:t>
      </w:r>
      <w:r>
        <w:t xml:space="preserve"> procedió a la</w:t>
      </w:r>
      <w:r w:rsidR="00343972">
        <w:t xml:space="preserve"> clausur</w:t>
      </w:r>
      <w:r w:rsidR="00237934">
        <w:t>a</w:t>
      </w:r>
      <w:r w:rsidR="00343972">
        <w:t xml:space="preserve"> la reunión.</w:t>
      </w:r>
    </w:p>
    <w:p w:rsidR="00DB4413" w:rsidRPr="003D13C7" w:rsidRDefault="00DB4413" w:rsidP="00AF3AE4">
      <w:pPr>
        <w:spacing w:line="240" w:lineRule="auto"/>
        <w:jc w:val="both"/>
      </w:pPr>
    </w:p>
    <w:sectPr w:rsidR="00DB4413" w:rsidRPr="003D13C7" w:rsidSect="0070562B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D2" w:rsidRDefault="005162D2" w:rsidP="00231B6D">
      <w:pPr>
        <w:spacing w:after="0" w:line="240" w:lineRule="auto"/>
      </w:pPr>
      <w:r>
        <w:separator/>
      </w:r>
    </w:p>
  </w:endnote>
  <w:endnote w:type="continuationSeparator" w:id="0">
    <w:p w:rsidR="005162D2" w:rsidRDefault="005162D2" w:rsidP="0023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225903"/>
      <w:docPartObj>
        <w:docPartGallery w:val="Page Numbers (Bottom of Page)"/>
        <w:docPartUnique/>
      </w:docPartObj>
    </w:sdtPr>
    <w:sdtEndPr/>
    <w:sdtContent>
      <w:p w:rsidR="00D2329F" w:rsidRDefault="00D232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1B" w:rsidRPr="00CF361B">
          <w:rPr>
            <w:noProof/>
            <w:lang w:val="es-ES"/>
          </w:rPr>
          <w:t>1</w:t>
        </w:r>
        <w:r>
          <w:fldChar w:fldCharType="end"/>
        </w:r>
      </w:p>
    </w:sdtContent>
  </w:sdt>
  <w:p w:rsidR="00D2329F" w:rsidRDefault="00D23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D2" w:rsidRDefault="005162D2" w:rsidP="00231B6D">
      <w:pPr>
        <w:spacing w:after="0" w:line="240" w:lineRule="auto"/>
      </w:pPr>
      <w:r>
        <w:separator/>
      </w:r>
    </w:p>
  </w:footnote>
  <w:footnote w:type="continuationSeparator" w:id="0">
    <w:p w:rsidR="005162D2" w:rsidRDefault="005162D2" w:rsidP="0023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6D" w:rsidRDefault="00231B6D" w:rsidP="00231B6D">
    <w:pPr>
      <w:pStyle w:val="Encabezado"/>
    </w:pPr>
  </w:p>
  <w:p w:rsidR="00231B6D" w:rsidRDefault="00231B6D" w:rsidP="00231B6D">
    <w:pPr>
      <w:pStyle w:val="Encabezado"/>
    </w:pPr>
    <w:r>
      <w:rPr>
        <w:noProof/>
        <w:lang w:eastAsia="es-MX"/>
      </w:rPr>
      <w:drawing>
        <wp:inline distT="0" distB="0" distL="0" distR="0" wp14:anchorId="7EE5DF71" wp14:editId="53B9FFAA">
          <wp:extent cx="5458601" cy="731520"/>
          <wp:effectExtent l="0" t="0" r="8890" b="0"/>
          <wp:docPr id="2" name="2 Imagen" descr="Plantilla Oficio Nuev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Plantilla Oficio Nuev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73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1B6D" w:rsidRPr="008659F2" w:rsidRDefault="00624FC1" w:rsidP="00231B6D">
    <w:pPr>
      <w:pStyle w:val="Encabezado"/>
      <w:jc w:val="center"/>
      <w:rPr>
        <w:sz w:val="32"/>
        <w:szCs w:val="32"/>
      </w:rPr>
    </w:pPr>
    <w:r w:rsidRPr="008659F2">
      <w:rPr>
        <w:sz w:val="32"/>
        <w:szCs w:val="32"/>
      </w:rPr>
      <w:t>V</w:t>
    </w:r>
    <w:r w:rsidR="00231B6D" w:rsidRPr="008659F2">
      <w:rPr>
        <w:sz w:val="32"/>
        <w:szCs w:val="32"/>
      </w:rPr>
      <w:t>ertie</w:t>
    </w:r>
    <w:r w:rsidR="00F93D15" w:rsidRPr="008659F2">
      <w:rPr>
        <w:sz w:val="32"/>
        <w:szCs w:val="32"/>
      </w:rPr>
      <w:t xml:space="preserve">nte del </w:t>
    </w:r>
    <w:proofErr w:type="spellStart"/>
    <w:r w:rsidR="00F93D15" w:rsidRPr="008659F2">
      <w:rPr>
        <w:sz w:val="32"/>
        <w:szCs w:val="32"/>
      </w:rPr>
      <w:t>MEVyT</w:t>
    </w:r>
    <w:proofErr w:type="spellEnd"/>
    <w:r w:rsidR="00F93D15" w:rsidRPr="008659F2">
      <w:rPr>
        <w:sz w:val="32"/>
        <w:szCs w:val="32"/>
      </w:rPr>
      <w:t xml:space="preserve"> para la atención de</w:t>
    </w:r>
    <w:r w:rsidR="00231B6D" w:rsidRPr="008659F2">
      <w:rPr>
        <w:sz w:val="32"/>
        <w:szCs w:val="32"/>
      </w:rPr>
      <w:t xml:space="preserve"> personas adultas mayores</w:t>
    </w:r>
  </w:p>
  <w:p w:rsidR="00231B6D" w:rsidRDefault="00231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1DC"/>
    <w:multiLevelType w:val="hybridMultilevel"/>
    <w:tmpl w:val="25ACBB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7734C"/>
    <w:multiLevelType w:val="hybridMultilevel"/>
    <w:tmpl w:val="D5DAC2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F7248"/>
    <w:multiLevelType w:val="hybridMultilevel"/>
    <w:tmpl w:val="A4B4F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3CA"/>
    <w:multiLevelType w:val="hybridMultilevel"/>
    <w:tmpl w:val="12409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61DF7"/>
    <w:multiLevelType w:val="hybridMultilevel"/>
    <w:tmpl w:val="9C969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4273"/>
    <w:multiLevelType w:val="hybridMultilevel"/>
    <w:tmpl w:val="C5BAE2F4"/>
    <w:lvl w:ilvl="0" w:tplc="2BC0C1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46C1"/>
    <w:multiLevelType w:val="hybridMultilevel"/>
    <w:tmpl w:val="1D5214A0"/>
    <w:lvl w:ilvl="0" w:tplc="2BC0C1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F8A"/>
    <w:multiLevelType w:val="hybridMultilevel"/>
    <w:tmpl w:val="28E2A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B6EC2"/>
    <w:multiLevelType w:val="hybridMultilevel"/>
    <w:tmpl w:val="9E28ECFA"/>
    <w:lvl w:ilvl="0" w:tplc="2BC0C1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43FF5"/>
    <w:multiLevelType w:val="hybridMultilevel"/>
    <w:tmpl w:val="9F7E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B"/>
    <w:rsid w:val="0006720A"/>
    <w:rsid w:val="000914C1"/>
    <w:rsid w:val="000E6198"/>
    <w:rsid w:val="000F7D19"/>
    <w:rsid w:val="00144334"/>
    <w:rsid w:val="00181DEB"/>
    <w:rsid w:val="00182841"/>
    <w:rsid w:val="00182BC1"/>
    <w:rsid w:val="0018466D"/>
    <w:rsid w:val="00186A95"/>
    <w:rsid w:val="00187B00"/>
    <w:rsid w:val="001C0C6A"/>
    <w:rsid w:val="00200A47"/>
    <w:rsid w:val="00215A2E"/>
    <w:rsid w:val="002266CD"/>
    <w:rsid w:val="00231B6D"/>
    <w:rsid w:val="00237934"/>
    <w:rsid w:val="002535E4"/>
    <w:rsid w:val="0027772E"/>
    <w:rsid w:val="0028617D"/>
    <w:rsid w:val="0033103C"/>
    <w:rsid w:val="00343972"/>
    <w:rsid w:val="003656FA"/>
    <w:rsid w:val="003D13C7"/>
    <w:rsid w:val="003E347A"/>
    <w:rsid w:val="003E7218"/>
    <w:rsid w:val="00407211"/>
    <w:rsid w:val="00412932"/>
    <w:rsid w:val="00473393"/>
    <w:rsid w:val="0048176D"/>
    <w:rsid w:val="004B3CAD"/>
    <w:rsid w:val="004D3B9C"/>
    <w:rsid w:val="004D5063"/>
    <w:rsid w:val="004D6C01"/>
    <w:rsid w:val="005162D2"/>
    <w:rsid w:val="005A10CE"/>
    <w:rsid w:val="005B0CC5"/>
    <w:rsid w:val="00624FC1"/>
    <w:rsid w:val="00650CA6"/>
    <w:rsid w:val="00675B98"/>
    <w:rsid w:val="006B2B10"/>
    <w:rsid w:val="006F2E3B"/>
    <w:rsid w:val="0070562B"/>
    <w:rsid w:val="00706386"/>
    <w:rsid w:val="00731F19"/>
    <w:rsid w:val="0073560F"/>
    <w:rsid w:val="007465C6"/>
    <w:rsid w:val="007629EF"/>
    <w:rsid w:val="007A2512"/>
    <w:rsid w:val="007D60F3"/>
    <w:rsid w:val="008410E7"/>
    <w:rsid w:val="00857814"/>
    <w:rsid w:val="008659F2"/>
    <w:rsid w:val="00872939"/>
    <w:rsid w:val="00896FE9"/>
    <w:rsid w:val="008C179F"/>
    <w:rsid w:val="008E4F3D"/>
    <w:rsid w:val="008F0FF7"/>
    <w:rsid w:val="0090538F"/>
    <w:rsid w:val="00911D71"/>
    <w:rsid w:val="0091796D"/>
    <w:rsid w:val="00923F39"/>
    <w:rsid w:val="00932729"/>
    <w:rsid w:val="009D1D6E"/>
    <w:rsid w:val="009E241E"/>
    <w:rsid w:val="00A01B20"/>
    <w:rsid w:val="00A418F0"/>
    <w:rsid w:val="00A55576"/>
    <w:rsid w:val="00A712D3"/>
    <w:rsid w:val="00AE03C9"/>
    <w:rsid w:val="00AF3AE4"/>
    <w:rsid w:val="00B02336"/>
    <w:rsid w:val="00B4516F"/>
    <w:rsid w:val="00C37612"/>
    <w:rsid w:val="00C54D3F"/>
    <w:rsid w:val="00CE636B"/>
    <w:rsid w:val="00CF361B"/>
    <w:rsid w:val="00CF5168"/>
    <w:rsid w:val="00D2329F"/>
    <w:rsid w:val="00D37C6A"/>
    <w:rsid w:val="00DB4413"/>
    <w:rsid w:val="00E02EA4"/>
    <w:rsid w:val="00E04666"/>
    <w:rsid w:val="00E133D5"/>
    <w:rsid w:val="00E23C05"/>
    <w:rsid w:val="00E67B20"/>
    <w:rsid w:val="00E84ED0"/>
    <w:rsid w:val="00EB1BF9"/>
    <w:rsid w:val="00EE2D8A"/>
    <w:rsid w:val="00F81511"/>
    <w:rsid w:val="00F93D15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ED9DF-46EF-47C4-A4C2-AFA98E98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B6D"/>
  </w:style>
  <w:style w:type="paragraph" w:styleId="Piedepgina">
    <w:name w:val="footer"/>
    <w:basedOn w:val="Normal"/>
    <w:link w:val="PiedepginaCar"/>
    <w:uiPriority w:val="99"/>
    <w:unhideWhenUsed/>
    <w:rsid w:val="0023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B6D"/>
  </w:style>
  <w:style w:type="paragraph" w:styleId="Textodeglobo">
    <w:name w:val="Balloon Text"/>
    <w:basedOn w:val="Normal"/>
    <w:link w:val="TextodegloboCar"/>
    <w:uiPriority w:val="99"/>
    <w:semiHidden/>
    <w:unhideWhenUsed/>
    <w:rsid w:val="002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B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3C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D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Rubi Ramos Martinez</dc:creator>
  <cp:lastModifiedBy>Alicia Mayen Hernandez</cp:lastModifiedBy>
  <cp:revision>2</cp:revision>
  <cp:lastPrinted>2018-06-22T15:15:00Z</cp:lastPrinted>
  <dcterms:created xsi:type="dcterms:W3CDTF">2018-07-23T16:36:00Z</dcterms:created>
  <dcterms:modified xsi:type="dcterms:W3CDTF">2018-07-23T16:36:00Z</dcterms:modified>
</cp:coreProperties>
</file>